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F" w:rsidRDefault="007E549F" w:rsidP="007E549F">
      <w:pPr>
        <w:pStyle w:val="ConsPlusTitle"/>
        <w:jc w:val="center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КРАСНОЯРСКИЙ КРАЙ</w:t>
      </w:r>
    </w:p>
    <w:p w:rsidR="007E549F" w:rsidRDefault="007E549F" w:rsidP="007E549F">
      <w:pPr>
        <w:pStyle w:val="ConsPlusTitle"/>
        <w:jc w:val="center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САЯНСКИЙ РАЙОН</w:t>
      </w:r>
    </w:p>
    <w:p w:rsidR="007E549F" w:rsidRDefault="007E549F" w:rsidP="007E549F">
      <w:pPr>
        <w:pStyle w:val="ConsPlusTitle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 w:val="0"/>
        </w:rPr>
        <w:t>БОЛЬШЕАРБАЙСКИЙ СЕЛЬСКИЙ СОВЕТ ДЕПУТАТОВ</w:t>
      </w:r>
    </w:p>
    <w:p w:rsidR="007E549F" w:rsidRDefault="007E549F" w:rsidP="007E549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E549F" w:rsidRDefault="007E549F" w:rsidP="007E549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РЕШЕНИЕ</w:t>
      </w:r>
    </w:p>
    <w:p w:rsidR="007E549F" w:rsidRDefault="007E549F" w:rsidP="007E549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E549F" w:rsidRDefault="007E549F" w:rsidP="007E549F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11.12.2020                                  с. Большой </w:t>
      </w:r>
      <w:proofErr w:type="spellStart"/>
      <w:r>
        <w:rPr>
          <w:rFonts w:cstheme="minorHAnsi"/>
          <w:b/>
          <w:sz w:val="28"/>
          <w:szCs w:val="28"/>
        </w:rPr>
        <w:t>Арбай</w:t>
      </w:r>
      <w:proofErr w:type="spellEnd"/>
      <w:r>
        <w:rPr>
          <w:rFonts w:cstheme="minorHAnsi"/>
          <w:b/>
          <w:sz w:val="28"/>
          <w:szCs w:val="28"/>
        </w:rPr>
        <w:t xml:space="preserve">                           № 83 </w:t>
      </w:r>
    </w:p>
    <w:p w:rsidR="007E549F" w:rsidRDefault="007E549F" w:rsidP="007E549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7E549F" w:rsidRDefault="007E549F" w:rsidP="007E549F">
      <w:pPr>
        <w:ind w:firstLine="56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утверждении Порядка предоставления муниципальных гарантий за счет средств бюджета  Большеарбайского  сельсовета</w:t>
      </w:r>
    </w:p>
    <w:p w:rsidR="007E549F" w:rsidRDefault="007E549F" w:rsidP="007E549F">
      <w:pPr>
        <w:ind w:firstLine="567"/>
        <w:jc w:val="both"/>
        <w:rPr>
          <w:rFonts w:cs="Arial"/>
          <w:sz w:val="28"/>
          <w:szCs w:val="28"/>
        </w:rPr>
      </w:pPr>
    </w:p>
    <w:p w:rsidR="007E549F" w:rsidRDefault="007E549F" w:rsidP="007E549F">
      <w:pPr>
        <w:pStyle w:val="ConsPlusNormal"/>
        <w:ind w:firstLine="709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В соответствии с Бюджетным кодексом Российской Федерации, частью 2 статьи 19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Федерального закона от 25.02.1999 № 39-ФЗ </w:t>
      </w:r>
      <w:r>
        <w:rPr>
          <w:rFonts w:asciiTheme="minorHAnsi" w:hAnsiTheme="minorHAnsi" w:cs="Arial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руководствуясь Уставом муниципального образования </w:t>
      </w:r>
      <w:proofErr w:type="spellStart"/>
      <w:r>
        <w:rPr>
          <w:rFonts w:asciiTheme="minorHAnsi" w:hAnsiTheme="minorHAnsi" w:cs="Arial"/>
          <w:sz w:val="28"/>
          <w:szCs w:val="28"/>
        </w:rPr>
        <w:t>Большеарбайский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 сельсовет,  </w:t>
      </w:r>
      <w:proofErr w:type="spellStart"/>
      <w:r>
        <w:rPr>
          <w:rFonts w:asciiTheme="minorHAnsi" w:hAnsiTheme="minorHAnsi" w:cs="Arial"/>
          <w:sz w:val="28"/>
          <w:szCs w:val="28"/>
        </w:rPr>
        <w:t>Большеарбайский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сельский Совет депутатов</w:t>
      </w:r>
    </w:p>
    <w:p w:rsidR="007E549F" w:rsidRDefault="007E549F" w:rsidP="007E549F">
      <w:pPr>
        <w:pStyle w:val="ConsPlusNormal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РЕШИЛ:</w:t>
      </w:r>
    </w:p>
    <w:p w:rsidR="007E549F" w:rsidRDefault="007E549F" w:rsidP="007E549F">
      <w:pPr>
        <w:pStyle w:val="1"/>
        <w:spacing w:before="0"/>
        <w:ind w:firstLine="709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1. Утвердить Порядок предоставления муниципальных гарантий за счет средств бюджета Большеарбайского  сельсовета, согласно приложению. </w:t>
      </w:r>
    </w:p>
    <w:p w:rsidR="007E549F" w:rsidRDefault="007E549F" w:rsidP="007E549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Контроль над исполнением настоящего решения возложить на постоянную комиссию по экономической политике и бюджетному процессу (Петухова С.В.)</w:t>
      </w:r>
    </w:p>
    <w:p w:rsidR="007E549F" w:rsidRDefault="007E549F" w:rsidP="007E549F">
      <w:pPr>
        <w:autoSpaceDE w:val="0"/>
        <w:autoSpaceDN w:val="0"/>
        <w:adjustRightInd w:val="0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Настоящее решение вступает в силу после его официального опубликования в периодическом печатном издание «Новости Большого Арбая» и подлежит размещению на официальном сайте администрации Саянского района.</w:t>
      </w:r>
      <w:proofErr w:type="gramEnd"/>
    </w:p>
    <w:p w:rsidR="007E549F" w:rsidRDefault="007E549F" w:rsidP="007E549F">
      <w:pPr>
        <w:autoSpaceDE w:val="0"/>
        <w:autoSpaceDN w:val="0"/>
        <w:adjustRightInd w:val="0"/>
        <w:ind w:left="705"/>
        <w:jc w:val="both"/>
        <w:rPr>
          <w:rFonts w:cs="Arial"/>
          <w:sz w:val="28"/>
          <w:szCs w:val="28"/>
        </w:rPr>
      </w:pPr>
    </w:p>
    <w:p w:rsidR="007E549F" w:rsidRDefault="007E549F" w:rsidP="007E549F">
      <w:pPr>
        <w:pStyle w:val="3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Глава </w:t>
      </w:r>
      <w:proofErr w:type="spellStart"/>
      <w:r>
        <w:rPr>
          <w:rFonts w:asciiTheme="minorHAnsi" w:hAnsiTheme="minorHAnsi" w:cs="Arial"/>
          <w:sz w:val="28"/>
          <w:szCs w:val="28"/>
        </w:rPr>
        <w:t>Большеарбайскогоского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сельсовета  </w:t>
      </w:r>
    </w:p>
    <w:p w:rsidR="007E549F" w:rsidRDefault="007E549F" w:rsidP="007E549F">
      <w:pPr>
        <w:pStyle w:val="3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Председатель Совета депутатов                                                   Н.П.Кононов</w:t>
      </w:r>
    </w:p>
    <w:p w:rsidR="007E549F" w:rsidRDefault="007E549F" w:rsidP="007E549F">
      <w:pPr>
        <w:rPr>
          <w:rFonts w:cs="Courier New"/>
          <w:color w:val="000000"/>
          <w:sz w:val="28"/>
          <w:szCs w:val="28"/>
        </w:rPr>
      </w:pPr>
    </w:p>
    <w:p w:rsidR="007E549F" w:rsidRDefault="007E549F" w:rsidP="007E549F">
      <w:pPr>
        <w:rPr>
          <w:sz w:val="28"/>
          <w:szCs w:val="28"/>
        </w:rPr>
      </w:pPr>
    </w:p>
    <w:p w:rsidR="007E549F" w:rsidRDefault="007E549F" w:rsidP="007E549F">
      <w:pPr>
        <w:rPr>
          <w:sz w:val="28"/>
          <w:szCs w:val="28"/>
        </w:rPr>
      </w:pPr>
    </w:p>
    <w:p w:rsidR="007E549F" w:rsidRDefault="007E549F" w:rsidP="007E549F">
      <w:pPr>
        <w:rPr>
          <w:sz w:val="28"/>
          <w:szCs w:val="28"/>
        </w:rPr>
      </w:pPr>
    </w:p>
    <w:p w:rsidR="007E549F" w:rsidRDefault="007E549F" w:rsidP="007E549F">
      <w:pPr>
        <w:rPr>
          <w:sz w:val="28"/>
          <w:szCs w:val="28"/>
        </w:rPr>
      </w:pPr>
    </w:p>
    <w:p w:rsidR="007E549F" w:rsidRDefault="007E549F" w:rsidP="007E549F">
      <w:pPr>
        <w:rPr>
          <w:sz w:val="28"/>
          <w:szCs w:val="28"/>
        </w:rPr>
      </w:pPr>
    </w:p>
    <w:p w:rsidR="007E549F" w:rsidRDefault="007E549F" w:rsidP="007E549F">
      <w:pPr>
        <w:rPr>
          <w:sz w:val="28"/>
          <w:szCs w:val="28"/>
        </w:rPr>
      </w:pPr>
    </w:p>
    <w:p w:rsidR="007E549F" w:rsidRDefault="007E549F" w:rsidP="007E549F">
      <w:pPr>
        <w:pStyle w:val="1"/>
        <w:spacing w:before="0"/>
        <w:jc w:val="right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Приложение</w:t>
      </w:r>
    </w:p>
    <w:p w:rsidR="007E549F" w:rsidRDefault="007E549F" w:rsidP="007E549F">
      <w:pPr>
        <w:pStyle w:val="1"/>
        <w:spacing w:before="0"/>
        <w:jc w:val="right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 к решению Большеарбайского  </w:t>
      </w:r>
      <w:proofErr w:type="gramStart"/>
      <w:r>
        <w:rPr>
          <w:rFonts w:asciiTheme="minorHAnsi" w:hAnsiTheme="minorHAnsi" w:cs="Arial"/>
          <w:b w:val="0"/>
          <w:color w:val="auto"/>
        </w:rPr>
        <w:t>сельского</w:t>
      </w:r>
      <w:proofErr w:type="gramEnd"/>
    </w:p>
    <w:p w:rsidR="007E549F" w:rsidRDefault="007E549F" w:rsidP="007E549F">
      <w:pPr>
        <w:pStyle w:val="1"/>
        <w:spacing w:before="0"/>
        <w:jc w:val="right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Совета депутатов</w:t>
      </w:r>
    </w:p>
    <w:p w:rsidR="007E549F" w:rsidRDefault="007E549F" w:rsidP="007E549F">
      <w:pPr>
        <w:pStyle w:val="1"/>
        <w:spacing w:before="0"/>
        <w:jc w:val="righ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 w:val="0"/>
          <w:color w:val="auto"/>
        </w:rPr>
        <w:t>От11.12.2020 №  83</w:t>
      </w:r>
    </w:p>
    <w:p w:rsidR="007E549F" w:rsidRDefault="007E549F" w:rsidP="007E549F">
      <w:pPr>
        <w:jc w:val="center"/>
        <w:rPr>
          <w:rFonts w:cs="Arial"/>
          <w:sz w:val="28"/>
          <w:szCs w:val="28"/>
        </w:rPr>
      </w:pPr>
    </w:p>
    <w:p w:rsidR="007E549F" w:rsidRDefault="007E549F" w:rsidP="007E549F">
      <w:pPr>
        <w:pStyle w:val="1"/>
        <w:spacing w:before="0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Порядок предоставления муниципальных гарантий за счет средств </w:t>
      </w:r>
    </w:p>
    <w:p w:rsidR="007E549F" w:rsidRDefault="007E549F" w:rsidP="007E549F">
      <w:pPr>
        <w:pStyle w:val="1"/>
        <w:spacing w:before="0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бюджета Большеарбайского  сельсовета</w:t>
      </w:r>
    </w:p>
    <w:p w:rsidR="007E549F" w:rsidRDefault="007E549F" w:rsidP="007E549F">
      <w:pPr>
        <w:pStyle w:val="ConsPlusNormal"/>
        <w:ind w:firstLine="709"/>
        <w:jc w:val="center"/>
        <w:rPr>
          <w:rFonts w:asciiTheme="minorHAnsi" w:hAnsiTheme="minorHAnsi" w:cs="Arial"/>
          <w:sz w:val="28"/>
          <w:szCs w:val="28"/>
        </w:rPr>
      </w:pPr>
    </w:p>
    <w:p w:rsidR="007E549F" w:rsidRDefault="007E549F" w:rsidP="007E54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Муниципальной гарантией Большеарбайского сельсовета (далее - муниципальная гарантия) признается вид долгового обязательства, в силу которого </w:t>
      </w:r>
      <w:proofErr w:type="spellStart"/>
      <w:r>
        <w:rPr>
          <w:rFonts w:cs="Arial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Большеарбайского сельсовета, в соответствии с условиями даваемого гарантом обязательства отвечать за исполнение третьим</w:t>
      </w:r>
      <w:proofErr w:type="gramEnd"/>
      <w:r>
        <w:rPr>
          <w:rFonts w:cs="Arial"/>
          <w:sz w:val="28"/>
          <w:szCs w:val="28"/>
        </w:rPr>
        <w:t xml:space="preserve"> лицом (принципалом) его обязательств перед бенефициаром.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предусматривают субсидиарную ответственность по обеспеченному им обязательству принципала в пределах суммы гарантии.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rStyle w:val="blk"/>
          <w:rFonts w:cs="Arial"/>
          <w:sz w:val="28"/>
          <w:szCs w:val="28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4" w:anchor="dst5520" w:history="1">
        <w:r>
          <w:rPr>
            <w:rStyle w:val="a3"/>
            <w:rFonts w:cs="Arial"/>
          </w:rPr>
          <w:t>пункте 4 статьи 115.1</w:t>
        </w:r>
      </w:hyperlink>
      <w:r>
        <w:rPr>
          <w:rStyle w:val="blk"/>
          <w:rFonts w:cs="Arial"/>
          <w:sz w:val="28"/>
          <w:szCs w:val="28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5" w:anchor="dst5866" w:history="1">
        <w:r>
          <w:rPr>
            <w:rStyle w:val="a3"/>
            <w:rFonts w:cs="Arial"/>
          </w:rPr>
          <w:t>пункте 8 статьи 116</w:t>
        </w:r>
      </w:hyperlink>
      <w:r>
        <w:rPr>
          <w:rStyle w:val="blk"/>
          <w:rFonts w:cs="Arial"/>
          <w:sz w:val="28"/>
          <w:szCs w:val="28"/>
        </w:rPr>
        <w:t xml:space="preserve"> Бюджетного Кодекса Российской Федерации)</w:t>
      </w:r>
      <w:proofErr w:type="gramEnd"/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3. От имени муниципального образования </w:t>
      </w:r>
      <w:proofErr w:type="spellStart"/>
      <w:r>
        <w:rPr>
          <w:rFonts w:cs="Arial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сельсовет муниципальные гарантии предоставляются администрацией Большеарбайского  сельсовета (далее – местная администрация) в пределах общей суммы предоставляемых гарантий, указанной в Решение о бюджете.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Муниципальные гарантии предоставляются в письменной форме. Муниципальная гарантия предоставляется в валюте, в которой выражена сумма основного обязательства.</w:t>
      </w:r>
    </w:p>
    <w:p w:rsidR="007E549F" w:rsidRDefault="007E549F" w:rsidP="007E549F">
      <w:pPr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В муниципальной гарантии указываются:</w:t>
      </w:r>
    </w:p>
    <w:p w:rsidR="007E549F" w:rsidRDefault="007E549F" w:rsidP="007E549F">
      <w:pPr>
        <w:ind w:firstLine="539"/>
        <w:jc w:val="both"/>
        <w:rPr>
          <w:rFonts w:cs="Arial"/>
          <w:sz w:val="28"/>
          <w:szCs w:val="28"/>
        </w:rPr>
      </w:pPr>
      <w:bookmarkStart w:id="0" w:name="dst5461"/>
      <w:bookmarkEnd w:id="0"/>
      <w:r>
        <w:rPr>
          <w:rFonts w:cs="Arial"/>
          <w:sz w:val="28"/>
          <w:szCs w:val="28"/>
        </w:rPr>
        <w:t>1) 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1" w:name="dst5462"/>
      <w:bookmarkEnd w:id="1"/>
      <w:r>
        <w:rPr>
          <w:rFonts w:cs="Arial"/>
          <w:sz w:val="28"/>
          <w:szCs w:val="28"/>
        </w:rPr>
        <w:t>2) наименование бенефициара;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2" w:name="dst5463"/>
      <w:bookmarkEnd w:id="2"/>
      <w:r>
        <w:rPr>
          <w:rFonts w:cs="Arial"/>
          <w:sz w:val="28"/>
          <w:szCs w:val="28"/>
        </w:rPr>
        <w:t>3) наименование принципала;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3" w:name="dst5464"/>
      <w:bookmarkEnd w:id="3"/>
      <w:r>
        <w:rPr>
          <w:rFonts w:cs="Arial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4" w:name="dst5465"/>
      <w:bookmarkEnd w:id="4"/>
      <w:r>
        <w:rPr>
          <w:rFonts w:cs="Arial"/>
          <w:sz w:val="28"/>
          <w:szCs w:val="28"/>
        </w:rPr>
        <w:t>5) объем обязательств гаранта по гарантии и предельная сумма гарантии;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5" w:name="dst5466"/>
      <w:bookmarkEnd w:id="5"/>
      <w:r>
        <w:rPr>
          <w:rFonts w:cs="Arial"/>
          <w:sz w:val="28"/>
          <w:szCs w:val="28"/>
        </w:rPr>
        <w:t>6) основания выдачи гарантии;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6" w:name="dst5467"/>
      <w:bookmarkEnd w:id="6"/>
      <w:r>
        <w:rPr>
          <w:rFonts w:cs="Arial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7" w:name="dst5468"/>
      <w:bookmarkEnd w:id="7"/>
      <w:r>
        <w:rPr>
          <w:rFonts w:cs="Arial"/>
          <w:sz w:val="28"/>
          <w:szCs w:val="28"/>
        </w:rPr>
        <w:t>8) срок действия гарантии;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8" w:name="dst5469"/>
      <w:bookmarkEnd w:id="8"/>
      <w:r>
        <w:rPr>
          <w:rFonts w:cs="Arial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9" w:name="dst5470"/>
      <w:bookmarkEnd w:id="9"/>
      <w:r>
        <w:rPr>
          <w:rFonts w:cs="Arial"/>
          <w:sz w:val="28"/>
          <w:szCs w:val="28"/>
        </w:rPr>
        <w:t>10) основания отзыва гарантии;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10" w:name="dst5471"/>
      <w:bookmarkEnd w:id="10"/>
      <w:r>
        <w:rPr>
          <w:rFonts w:cs="Arial"/>
          <w:sz w:val="28"/>
          <w:szCs w:val="28"/>
        </w:rPr>
        <w:t>11) порядок исполнения гарантом обязательств по гарантии;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11" w:name="dst5472"/>
      <w:bookmarkEnd w:id="11"/>
      <w:r>
        <w:rPr>
          <w:rFonts w:cs="Arial"/>
          <w:sz w:val="28"/>
          <w:szCs w:val="28"/>
        </w:rPr>
        <w:t xml:space="preserve">12) основания уменьшения суммы гарантии при исполнении в полном объеме или в какой-либо части гарантии, исполнении (прекращении по </w:t>
      </w:r>
      <w:r>
        <w:rPr>
          <w:rFonts w:cs="Arial"/>
          <w:sz w:val="28"/>
          <w:szCs w:val="28"/>
        </w:rPr>
        <w:lastRenderedPageBreak/>
        <w:t>иным основаниям) в полном объеме или в какой-либо части обязатель</w:t>
      </w:r>
      <w:proofErr w:type="gramStart"/>
      <w:r>
        <w:rPr>
          <w:rFonts w:cs="Arial"/>
          <w:sz w:val="28"/>
          <w:szCs w:val="28"/>
        </w:rPr>
        <w:t>ств пр</w:t>
      </w:r>
      <w:proofErr w:type="gramEnd"/>
      <w:r>
        <w:rPr>
          <w:rFonts w:cs="Arial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7E549F" w:rsidRDefault="007E549F" w:rsidP="007E549F">
      <w:pPr>
        <w:ind w:firstLine="540"/>
        <w:rPr>
          <w:rFonts w:cs="Arial"/>
          <w:sz w:val="28"/>
          <w:szCs w:val="28"/>
        </w:rPr>
      </w:pPr>
      <w:bookmarkStart w:id="12" w:name="dst5473"/>
      <w:bookmarkEnd w:id="12"/>
      <w:r>
        <w:rPr>
          <w:rFonts w:cs="Arial"/>
          <w:sz w:val="28"/>
          <w:szCs w:val="28"/>
        </w:rPr>
        <w:t>13) основания прекращения гарантии;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13" w:name="dst5474"/>
      <w:bookmarkEnd w:id="13"/>
      <w:r>
        <w:rPr>
          <w:rFonts w:cs="Arial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14" w:name="dst5475"/>
      <w:bookmarkEnd w:id="14"/>
      <w:r>
        <w:rPr>
          <w:rFonts w:cs="Arial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15" w:name="dst5476"/>
      <w:bookmarkEnd w:id="15"/>
      <w:r>
        <w:rPr>
          <w:rFonts w:cs="Arial"/>
          <w:sz w:val="28"/>
          <w:szCs w:val="2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Условия муниципальной гарантии не могут быть изменены местной администрацией без согласия бенефициара.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r>
        <w:rPr>
          <w:rStyle w:val="blk"/>
          <w:rFonts w:cs="Arial"/>
          <w:sz w:val="28"/>
          <w:szCs w:val="28"/>
        </w:rPr>
        <w:t>Предоставление муниципальной гарантии осуществляется при соблюдении следующих условий (если иное не предусмотрено настоящим Бюджетным Кодексом Российской Федерации):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16" w:name="dst5528"/>
      <w:bookmarkEnd w:id="16"/>
      <w:r>
        <w:rPr>
          <w:rStyle w:val="blk"/>
          <w:rFonts w:cs="Arial"/>
          <w:sz w:val="28"/>
          <w:szCs w:val="28"/>
        </w:rPr>
        <w:t>финансовое состояние принципала является удовлетворительным;</w:t>
      </w:r>
    </w:p>
    <w:p w:rsidR="007E549F" w:rsidRDefault="007E549F" w:rsidP="007E549F">
      <w:pPr>
        <w:ind w:firstLine="540"/>
        <w:jc w:val="both"/>
        <w:rPr>
          <w:rFonts w:cs="Arial"/>
          <w:sz w:val="28"/>
          <w:szCs w:val="28"/>
        </w:rPr>
      </w:pPr>
      <w:bookmarkStart w:id="17" w:name="dst5529"/>
      <w:bookmarkEnd w:id="17"/>
      <w:r>
        <w:rPr>
          <w:rStyle w:val="blk"/>
          <w:rFonts w:cs="Arial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6" w:anchor="dst5537" w:history="1">
        <w:r>
          <w:rPr>
            <w:rStyle w:val="a3"/>
            <w:rFonts w:cs="Arial"/>
          </w:rPr>
          <w:t>статьи 115.3</w:t>
        </w:r>
      </w:hyperlink>
      <w:r>
        <w:rPr>
          <w:rStyle w:val="blk"/>
          <w:rFonts w:cs="Arial"/>
          <w:sz w:val="28"/>
          <w:szCs w:val="28"/>
        </w:rPr>
        <w:t xml:space="preserve"> Бюджетного Кодекса Российской Федерации и гражданского </w:t>
      </w:r>
      <w:hyperlink r:id="rId7" w:anchor="dst101611" w:history="1">
        <w:r>
          <w:rPr>
            <w:rStyle w:val="a3"/>
            <w:rFonts w:cs="Arial"/>
          </w:rPr>
          <w:t>законодательства</w:t>
        </w:r>
      </w:hyperlink>
      <w:r>
        <w:rPr>
          <w:rStyle w:val="blk"/>
          <w:rFonts w:cs="Arial"/>
          <w:sz w:val="28"/>
          <w:szCs w:val="28"/>
        </w:rPr>
        <w:t xml:space="preserve"> Российской </w:t>
      </w:r>
      <w:proofErr w:type="gramStart"/>
      <w:r>
        <w:rPr>
          <w:rStyle w:val="blk"/>
          <w:rFonts w:cs="Arial"/>
          <w:sz w:val="28"/>
          <w:szCs w:val="28"/>
        </w:rPr>
        <w:t>Федерации обеспечения исполнения обязательств принципала</w:t>
      </w:r>
      <w:proofErr w:type="gramEnd"/>
      <w:r>
        <w:rPr>
          <w:rStyle w:val="blk"/>
          <w:rFonts w:cs="Arial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E549F" w:rsidRDefault="007E549F" w:rsidP="007E549F">
      <w:pPr>
        <w:ind w:firstLine="567"/>
        <w:jc w:val="both"/>
        <w:rPr>
          <w:rFonts w:cs="Arial"/>
          <w:sz w:val="28"/>
          <w:szCs w:val="28"/>
        </w:rPr>
      </w:pPr>
      <w:bookmarkStart w:id="18" w:name="dst5530"/>
      <w:bookmarkEnd w:id="18"/>
      <w:proofErr w:type="gramStart"/>
      <w:r>
        <w:rPr>
          <w:rStyle w:val="blk"/>
          <w:rFonts w:cs="Arial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</w:t>
      </w:r>
      <w:r>
        <w:rPr>
          <w:rStyle w:val="blk"/>
          <w:rFonts w:cs="Arial"/>
          <w:sz w:val="28"/>
          <w:szCs w:val="28"/>
        </w:rPr>
        <w:lastRenderedPageBreak/>
        <w:t>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</w:t>
      </w:r>
      <w:proofErr w:type="gramEnd"/>
      <w:r>
        <w:rPr>
          <w:rStyle w:val="blk"/>
          <w:rFonts w:cs="Arial"/>
          <w:sz w:val="28"/>
          <w:szCs w:val="28"/>
        </w:rPr>
        <w:t xml:space="preserve">, </w:t>
      </w:r>
      <w:proofErr w:type="gramStart"/>
      <w:r>
        <w:rPr>
          <w:rStyle w:val="blk"/>
          <w:rFonts w:cs="Arial"/>
          <w:sz w:val="28"/>
          <w:szCs w:val="28"/>
        </w:rPr>
        <w:t>предоставляющего</w:t>
      </w:r>
      <w:proofErr w:type="gramEnd"/>
      <w:r>
        <w:rPr>
          <w:rStyle w:val="blk"/>
          <w:rFonts w:cs="Arial"/>
          <w:sz w:val="28"/>
          <w:szCs w:val="28"/>
        </w:rPr>
        <w:t xml:space="preserve"> муниципальную гарантию;</w:t>
      </w:r>
    </w:p>
    <w:p w:rsidR="007E549F" w:rsidRDefault="007E549F" w:rsidP="007E549F">
      <w:pPr>
        <w:ind w:firstLine="567"/>
        <w:jc w:val="both"/>
        <w:rPr>
          <w:rFonts w:cs="Arial"/>
          <w:sz w:val="28"/>
          <w:szCs w:val="28"/>
        </w:rPr>
      </w:pPr>
      <w:bookmarkStart w:id="19" w:name="dst5531"/>
      <w:bookmarkEnd w:id="19"/>
      <w:r>
        <w:rPr>
          <w:rStyle w:val="blk"/>
          <w:rFonts w:cs="Arial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Муниципальной гарантией, не предусматривающей право регрессного требования гаранта к принципу,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М</w:t>
      </w:r>
      <w:r>
        <w:rPr>
          <w:rStyle w:val="blk"/>
          <w:rFonts w:cs="Arial"/>
          <w:sz w:val="28"/>
          <w:szCs w:val="28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>
        <w:rPr>
          <w:rStyle w:val="blk"/>
          <w:rFonts w:cs="Arial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>
        <w:rPr>
          <w:rStyle w:val="blk"/>
          <w:rFonts w:cs="Arial"/>
          <w:sz w:val="28"/>
          <w:szCs w:val="28"/>
        </w:rPr>
        <w:t>дств кр</w:t>
      </w:r>
      <w:proofErr w:type="gramEnd"/>
      <w:r>
        <w:rPr>
          <w:rStyle w:val="blk"/>
          <w:rFonts w:cs="Arial"/>
          <w:sz w:val="28"/>
          <w:szCs w:val="28"/>
        </w:rPr>
        <w:t>едита.</w:t>
      </w:r>
      <w:r>
        <w:rPr>
          <w:rFonts w:cs="Arial"/>
          <w:sz w:val="28"/>
          <w:szCs w:val="28"/>
          <w:highlight w:val="green"/>
        </w:rPr>
        <w:t xml:space="preserve"> </w:t>
      </w:r>
      <w:bookmarkStart w:id="20" w:name="Par59"/>
      <w:bookmarkEnd w:id="20"/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</w:t>
      </w:r>
      <w:proofErr w:type="spellStart"/>
      <w:r>
        <w:rPr>
          <w:rFonts w:cs="Arial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>
        <w:rPr>
          <w:rFonts w:cs="Arial"/>
          <w:sz w:val="28"/>
          <w:szCs w:val="28"/>
        </w:rPr>
        <w:t>ств пр</w:t>
      </w:r>
      <w:proofErr w:type="gramEnd"/>
      <w:r>
        <w:rPr>
          <w:rFonts w:cs="Arial"/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9.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10. Заявка на получение муниципальной гарантии должна содержать: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12. В целях предоставления, а также после предоставления муниципальной гарантии главный бухгалтер администрации Большеарбайского сельсовета,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  <w:r>
        <w:rPr>
          <w:rStyle w:val="blk"/>
          <w:rFonts w:cs="Arial"/>
          <w:sz w:val="28"/>
          <w:szCs w:val="28"/>
        </w:rPr>
        <w:t xml:space="preserve"> 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13.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распоряжении местной администрации должны быть указаны: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предел обязательств по муниципальной гарантии;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основные условия муниципальной гарантии.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14.В случае установления факта нецелевого использования сре</w:t>
      </w:r>
      <w:proofErr w:type="gramStart"/>
      <w:r>
        <w:rPr>
          <w:rFonts w:cs="Arial"/>
          <w:sz w:val="28"/>
          <w:szCs w:val="28"/>
        </w:rPr>
        <w:t>дств кр</w:t>
      </w:r>
      <w:proofErr w:type="gramEnd"/>
      <w:r>
        <w:rPr>
          <w:rFonts w:cs="Arial"/>
          <w:sz w:val="28"/>
          <w:szCs w:val="28"/>
        </w:rPr>
        <w:t xml:space="preserve">едита (займа, в том числе облигационного), обеспеченного муниципальной гарантией, в случае неиспользования или ненадлежащего использования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 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муниципальными правовыми актами Большеарбайского сельсовета, регулирующими отношения в сфере инвестиционной деятельности.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16.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17. Регистрацию и хранение выданных муниципальных гарантий, договоров о предоставлении муниципальных гарантий осуществляет главный бухгалтер администрации  Большеарбайского сельсовета.</w:t>
      </w:r>
    </w:p>
    <w:p w:rsidR="007E549F" w:rsidRDefault="007E549F" w:rsidP="007E549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18. Учет выданных муниципальных гарантий, исполнения обязатель</w:t>
      </w:r>
      <w:proofErr w:type="gramStart"/>
      <w:r>
        <w:rPr>
          <w:rFonts w:cs="Arial"/>
          <w:sz w:val="28"/>
          <w:szCs w:val="28"/>
        </w:rPr>
        <w:t>ств пр</w:t>
      </w:r>
      <w:proofErr w:type="gramEnd"/>
      <w:r>
        <w:rPr>
          <w:rFonts w:cs="Arial"/>
          <w:sz w:val="28"/>
          <w:szCs w:val="28"/>
        </w:rPr>
        <w:t>инципала, обеспеченных муниципальными гарантиями, а также учет осуществления гарантом платежей по выданным муниципальным гарантиям ведет главный бухгалтер администрации  Большеарбайского сельсовета.</w:t>
      </w:r>
    </w:p>
    <w:p w:rsidR="004465AD" w:rsidRDefault="004465AD"/>
    <w:sectPr w:rsidR="0044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E549F"/>
    <w:rsid w:val="004465AD"/>
    <w:rsid w:val="007E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7E549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5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549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E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E5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7E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354/e5838fc5afe97104d4f1feaa0647d81614dccce3/" TargetMode="External"/><Relationship Id="rId5" Type="http://schemas.openxmlformats.org/officeDocument/2006/relationships/hyperlink" Target="http://www.consultant.ru/document/cons_doc_LAW_353354/33ebc18e1410f528d043ed0bedf88503f219a882/" TargetMode="External"/><Relationship Id="rId4" Type="http://schemas.openxmlformats.org/officeDocument/2006/relationships/hyperlink" Target="http://www.consultant.ru/document/cons_doc_LAW_353354/fd9e4c69a855abe2a173c6c23f79ae5e75a6fd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2020-12-15T08:22:00Z</dcterms:created>
  <dcterms:modified xsi:type="dcterms:W3CDTF">2020-12-15T08:22:00Z</dcterms:modified>
</cp:coreProperties>
</file>